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240" w:after="24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240" w:after="24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Criteri di compilazione della Griglia di rilevazione</w:t>
      </w:r>
    </w:p>
    <w:p>
      <w:pPr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La rilevazione ha a oggetto lo stato di pubblicazione dei dati nella sezione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Amministrazione 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 al 31 marzo 2018. Nella Griglia di rilevazione sono inseriti i risultati della rilevazione effettuata dagli OIV, o dagli altri organismi con funzioni analoghe, al 31 marzo 2018.</w:t>
      </w:r>
    </w:p>
    <w:p>
      <w:pPr>
        <w:suppressAutoHyphens w:val="true"/>
        <w:spacing w:before="24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La Griglia di rilevazione è composta da 2 fogli. </w:t>
      </w:r>
    </w:p>
    <w:p>
      <w:pPr>
        <w:suppressAutoHyphens w:val="true"/>
        <w:spacing w:before="24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Gli OIV, o altri organismi con funzioni analoghe, sono tenuti a compilare il foglio n. 1 denominato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Pubblicazione e qualità dati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Il foglio n. 2, denominato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Uffici periferici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», è compilato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solamente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dagli OIV, o dagli altri organismi con funzioni analoghe, dei Ministeri e degli Enti pubblici nazionali con uffici periferici.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Per ogni dato inserito nella Griglia di rilevazione deve essere verificata l’avvenuta pubblicazione dei dati e delle informazioni prevista dalla normativa, con l’indicazione di un valore compreso, a seconda dei casi, fra 0 e 2 oppure fra 0 e 3, che fornisce la misura del grado di adempimento da parte dell’amministrazione/ente soggetto a controllo, come di seguito specificato.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Qualora uno o più obblighi oggetto di verifica non siano applicabili, gli OIV, o le strutture analoghe, inseriscono il valore “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  <w:t xml:space="preserve">n/a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”. 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  <w:t xml:space="preserve">Non sono ammessi campi vuoti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, ossia privi di uno dei suddetti valori. Ne consegue che eventuali campi non compilati saranno ritenuti equiparati al valore “0”.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Foglio n. 1 – Pubblicazione e qualità dati</w:t>
      </w:r>
    </w:p>
    <w:p>
      <w:pPr>
        <w:suppressAutoHyphens w:val="true"/>
        <w:spacing w:before="0" w:after="12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PUBBLICAZIONE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Il dato è pubblicato nella sezione “Amministrazione trasparente”/”Società trasparente” del sito istituzionale?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Attribuzione di una scala di valori compresi fra 0 e 2:</w:t>
      </w:r>
    </w:p>
    <w:p>
      <w:pPr>
        <w:widowControl w:val="false"/>
        <w:numPr>
          <w:ilvl w:val="0"/>
          <w:numId w:val="9"/>
        </w:numPr>
        <w:tabs>
          <w:tab w:val="left" w:pos="16777074" w:leader="none"/>
        </w:tabs>
        <w:spacing w:before="0" w:after="200" w:line="360"/>
        <w:ind w:right="0" w:left="720" w:hanging="436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non risulta pubblicato;</w:t>
      </w:r>
    </w:p>
    <w:p>
      <w:pPr>
        <w:widowControl w:val="false"/>
        <w:numPr>
          <w:ilvl w:val="0"/>
          <w:numId w:val="9"/>
        </w:numPr>
        <w:tabs>
          <w:tab w:val="left" w:pos="16777074" w:leader="none"/>
        </w:tabs>
        <w:spacing w:before="0" w:after="20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risulta pubblicato in una sezione diversa da quella denominata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Amministrazione 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widowControl w:val="false"/>
        <w:numPr>
          <w:ilvl w:val="0"/>
          <w:numId w:val="9"/>
        </w:numPr>
        <w:tabs>
          <w:tab w:val="left" w:pos="16777074" w:leader="none"/>
        </w:tabs>
        <w:spacing w:before="0" w:after="0" w:line="360"/>
        <w:ind w:right="0" w:left="0" w:firstLine="284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risulta pubblicato nella sezione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Amministrazione 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Indicare nel campo “Note” l’eventuale area o sezione, diversa da quella denominata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Amministrazione 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 o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Società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», in cui il dato risulta pubblicato e se è inserito un link alla sezione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Amministrazione 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 o «</w:t>
      </w: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Società trasparente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COMPLETEZZA DEL CONTENUTO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Il dato pubblicato riporta tutte le informazioni richieste dalle previsioni normative?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Attribuzione di una scala di valori compresi fra 0 e 3:</w:t>
      </w:r>
    </w:p>
    <w:p>
      <w:pPr>
        <w:widowControl w:val="false"/>
        <w:numPr>
          <w:ilvl w:val="0"/>
          <w:numId w:val="17"/>
        </w:numPr>
        <w:tabs>
          <w:tab w:val="left" w:pos="16777074" w:leader="none"/>
        </w:tabs>
        <w:spacing w:before="0" w:after="200" w:line="360"/>
        <w:ind w:right="0" w:left="720" w:hanging="436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non risulta pubblicato;</w:t>
      </w:r>
    </w:p>
    <w:p>
      <w:pPr>
        <w:widowControl w:val="false"/>
        <w:numPr>
          <w:ilvl w:val="0"/>
          <w:numId w:val="17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le informazioni richieste risultano pubblicate in una percentuale compresa fra l’1 e il 33%;</w:t>
      </w:r>
    </w:p>
    <w:p>
      <w:pPr>
        <w:widowControl w:val="false"/>
        <w:numPr>
          <w:ilvl w:val="0"/>
          <w:numId w:val="17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le informazioni richieste risultano pubblicate in una percentuale compresa fra il 34 e il 66%;</w:t>
      </w:r>
    </w:p>
    <w:p>
      <w:pPr>
        <w:widowControl w:val="false"/>
        <w:numPr>
          <w:ilvl w:val="0"/>
          <w:numId w:val="17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le informazioni richieste risultano pubblicate in una percentuale compresa fra il 67 e il 100%.</w:t>
      </w:r>
    </w:p>
    <w:p>
      <w:pPr>
        <w:suppressAutoHyphens w:val="true"/>
        <w:spacing w:before="0" w:after="120" w:line="360"/>
        <w:ind w:right="0" w:left="72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120" w:line="360"/>
        <w:ind w:right="0" w:left="72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COMPLETEZZA RISPETTO AGLI UFFICI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Il dato pubblicato è riferito a tutti gli uffici?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Attribuzione di una scala di valori compresi fra 0 e 3:</w:t>
      </w:r>
    </w:p>
    <w:p>
      <w:pPr>
        <w:widowControl w:val="false"/>
        <w:numPr>
          <w:ilvl w:val="0"/>
          <w:numId w:val="22"/>
        </w:numPr>
        <w:tabs>
          <w:tab w:val="left" w:pos="16777074" w:leader="none"/>
        </w:tabs>
        <w:spacing w:before="0" w:after="200" w:line="360"/>
        <w:ind w:right="0" w:left="720" w:hanging="436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non è possibile individuare se il dato pubblicato si riferisce ad uno o più uffici;</w:t>
      </w:r>
    </w:p>
    <w:p>
      <w:pPr>
        <w:widowControl w:val="false"/>
        <w:numPr>
          <w:ilvl w:val="0"/>
          <w:numId w:val="22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fa riferimento ad una percentuale di uffici compresa fra l’1 e il 33%;</w:t>
      </w:r>
    </w:p>
    <w:p>
      <w:pPr>
        <w:widowControl w:val="false"/>
        <w:numPr>
          <w:ilvl w:val="0"/>
          <w:numId w:val="22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fa riferimento ad una percentuale di uffici compresa fra il 34 e il 66%;</w:t>
      </w:r>
    </w:p>
    <w:p>
      <w:pPr>
        <w:widowControl w:val="false"/>
        <w:numPr>
          <w:ilvl w:val="0"/>
          <w:numId w:val="22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fa riferimento ad una percentuale di uffici compresa fra il 67 e il 100%.</w:t>
      </w:r>
    </w:p>
    <w:p>
      <w:pPr>
        <w:widowControl w:val="false"/>
        <w:tabs>
          <w:tab w:val="left" w:pos="16777074" w:leader="none"/>
        </w:tabs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20" w:line="36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AGGIORNAMENTO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La pagina web e i documenti pubblicati risultano aggiornati?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L’aggiornamento deve essere valutato con riferimento alla specifica cadenza di aggiornamento prevista dalle norme o dal PTPC- Sezione Trasparenza- per ogni singolo obbligo. 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Attribuzione di una scala di valori compresi fra 0 e 3:</w:t>
      </w:r>
    </w:p>
    <w:p>
      <w:pPr>
        <w:widowControl w:val="false"/>
        <w:numPr>
          <w:ilvl w:val="0"/>
          <w:numId w:val="28"/>
        </w:numPr>
        <w:tabs>
          <w:tab w:val="left" w:pos="16777074" w:leader="none"/>
        </w:tabs>
        <w:spacing w:before="0" w:after="0" w:line="360"/>
        <w:ind w:right="0" w:left="720" w:hanging="436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non risultano aggiornati né la pagina web né i dati in essa contenuti o non è possibile individuare la data di aggiornamento né della pagina web né dei dati in essa contenuti;</w:t>
      </w:r>
    </w:p>
    <w:p>
      <w:pPr>
        <w:widowControl w:val="false"/>
        <w:numPr>
          <w:ilvl w:val="0"/>
          <w:numId w:val="28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contenuto dei dati pubblicati risulta aggiornato per una percentuale compresa fra l’1 e il 33%;</w:t>
      </w:r>
    </w:p>
    <w:p>
      <w:pPr>
        <w:widowControl w:val="false"/>
        <w:numPr>
          <w:ilvl w:val="0"/>
          <w:numId w:val="28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contenuto dei dati pubblicati risulta aggiornato per una percentuale compresa fra il 33 e il 66%;</w:t>
      </w:r>
    </w:p>
    <w:p>
      <w:pPr>
        <w:widowControl w:val="false"/>
        <w:numPr>
          <w:ilvl w:val="0"/>
          <w:numId w:val="28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contenuto dei dati pubblicati risulta aggiornato per una percentuale compresa fra il 67 e il 100%.</w:t>
      </w:r>
    </w:p>
    <w:p>
      <w:pPr>
        <w:suppressAutoHyphens w:val="true"/>
        <w:spacing w:before="0" w:after="120" w:line="360"/>
        <w:ind w:right="0" w:left="72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120" w:line="360"/>
        <w:ind w:right="0" w:left="72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APERTURA FORMATO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Il formato di pubblicazione è aperto o elaborabile?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Attribuzione di una scala di valori compresi fra 0 e 3:</w:t>
      </w:r>
    </w:p>
    <w:p>
      <w:pPr>
        <w:widowControl w:val="false"/>
        <w:numPr>
          <w:ilvl w:val="0"/>
          <w:numId w:val="33"/>
        </w:numPr>
        <w:tabs>
          <w:tab w:val="left" w:pos="16777074" w:leader="none"/>
        </w:tabs>
        <w:spacing w:before="0" w:after="0" w:line="360"/>
        <w:ind w:right="0" w:left="720" w:hanging="436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formato di pubblicazione non è aperto e non è elaborabile (es. formato immagine jpeg, tif, pdf scannerizzato);</w:t>
      </w:r>
    </w:p>
    <w:p>
      <w:pPr>
        <w:widowControl w:val="false"/>
        <w:numPr>
          <w:ilvl w:val="0"/>
          <w:numId w:val="33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formato di pubblicazione è aperto (es. ods, csv, pdf elaborabile) o almeno elaborabile (es. xls, html) per una percentuale di documenti compresi fra l’1 e il 33%;</w:t>
      </w:r>
    </w:p>
    <w:p>
      <w:pPr>
        <w:widowControl w:val="false"/>
        <w:numPr>
          <w:ilvl w:val="0"/>
          <w:numId w:val="33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formato di pubblicazione è aperto (es. ods, csv, pdf elaborabile) o almeno elaborabile (es. xls, html) per una percentuale di documenti compresi fra il 34 e il 66%;</w:t>
      </w:r>
    </w:p>
    <w:p>
      <w:pPr>
        <w:widowControl w:val="false"/>
        <w:numPr>
          <w:ilvl w:val="0"/>
          <w:numId w:val="33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formato di pubblicazione è aperto (es. ods, csv, pdf elaborabile) o almeno elaborabile (es. xls, html) per una percentuale di documenti compresi fra il 67 e il 100%.</w:t>
      </w:r>
    </w:p>
    <w:p>
      <w:pPr>
        <w:suppressAutoHyphens w:val="true"/>
        <w:spacing w:before="0" w:after="12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12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Foglio n. 2 – Uffici periferici </w:t>
      </w:r>
    </w:p>
    <w:p>
      <w:pPr>
        <w:suppressAutoHyphens w:val="true"/>
        <w:spacing w:before="0" w:after="12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widowControl w:val="false"/>
        <w:tabs>
          <w:tab w:val="left" w:pos="16777074" w:leader="none"/>
        </w:tabs>
        <w:spacing w:before="0" w:after="200" w:line="36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COMPLETEZZA RISPETTO AGLI UFFICI PERIFERICI</w:t>
      </w:r>
    </w:p>
    <w:p>
      <w:pPr>
        <w:suppressAutoHyphens w:val="true"/>
        <w:spacing w:before="0" w:after="120" w:line="360"/>
        <w:ind w:right="0" w:left="0" w:firstLine="0"/>
        <w:jc w:val="both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Il dato pubblicato è riferito a tutti gli uffici periferici?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Il presente dato deve essere attestato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esclusivamente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con riferimento ai Ministeri e agli Enti pubblici nazionali con uffici periferici. Per tutte le altre amministrazioni ed enti deve essere indicato il valore “n/a”. 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Considerata la numerosità degli uffici periferici, gli OIV, o gli altri organismi con funzioni analoghe, concentrano le loro verifiche su un campione rappresentativo di uffici autonomamente selezionato che deve comprendere almeno il 20% degli uffici periferici esistenti.</w:t>
      </w:r>
    </w:p>
    <w:p>
      <w:pPr>
        <w:tabs>
          <w:tab w:val="left" w:pos="16777074" w:leader="none"/>
        </w:tabs>
        <w:suppressAutoHyphens w:val="true"/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L’elenco degli uffici selezionati e il relativo criterio di selezione devono essere inseriti all’interno dell’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Allegato 3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6777074" w:leader="none"/>
        </w:tabs>
        <w:suppressAutoHyphens w:val="true"/>
        <w:spacing w:before="24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Attribuzione di una scala di valori compresi fra 0 e 3:</w:t>
      </w:r>
    </w:p>
    <w:p>
      <w:pPr>
        <w:widowControl w:val="false"/>
        <w:numPr>
          <w:ilvl w:val="0"/>
          <w:numId w:val="40"/>
        </w:numPr>
        <w:tabs>
          <w:tab w:val="left" w:pos="16777074" w:leader="none"/>
        </w:tabs>
        <w:spacing w:before="0" w:after="0" w:line="360"/>
        <w:ind w:right="0" w:left="720" w:hanging="436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relativo agli uffici periferici considerati nel campione selezionato non risulta pubblicato o non è possibile individuare se il dato pubblicato si riferisce ad uno o più uffici periferici;</w:t>
      </w:r>
    </w:p>
    <w:p>
      <w:pPr>
        <w:widowControl w:val="false"/>
        <w:numPr>
          <w:ilvl w:val="0"/>
          <w:numId w:val="40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fa riferimento ad una percentuale di uffici periferici (del campione) compresa fra l’1 e il 33%;</w:t>
      </w:r>
    </w:p>
    <w:p>
      <w:pPr>
        <w:widowControl w:val="false"/>
        <w:numPr>
          <w:ilvl w:val="0"/>
          <w:numId w:val="40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fa riferimento ad una percentuale di uffici periferici (del campione) compresa fra il 34 e il 66%;</w:t>
      </w:r>
    </w:p>
    <w:p>
      <w:pPr>
        <w:widowControl w:val="false"/>
        <w:numPr>
          <w:ilvl w:val="0"/>
          <w:numId w:val="40"/>
        </w:numPr>
        <w:tabs>
          <w:tab w:val="left" w:pos="16777074" w:leader="none"/>
        </w:tabs>
        <w:spacing w:before="0" w:after="0" w:line="360"/>
        <w:ind w:right="0" w:left="709" w:hanging="425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- il dato fa riferimento ad una percentuale di uffici periferici (del campione) compresa fra il 67 e il 100%.</w:t>
      </w:r>
    </w:p>
    <w:p>
      <w:pPr>
        <w:widowControl w:val="false"/>
        <w:tabs>
          <w:tab w:val="left" w:pos="16777074" w:leader="none"/>
        </w:tabs>
        <w:spacing w:before="0" w:after="0" w:line="36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16777074" w:leader="none"/>
        </w:tabs>
        <w:spacing w:before="0" w:after="200" w:line="36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7">
    <w:abstractNumId w:val="24"/>
  </w:num>
  <w:num w:numId="22">
    <w:abstractNumId w:val="18"/>
  </w:num>
  <w:num w:numId="28">
    <w:abstractNumId w:val="12"/>
  </w:num>
  <w:num w:numId="33">
    <w:abstractNumId w:val="6"/>
  </w:num>
  <w:num w:numId="4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